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overflowPunct w:val="0"/>
        <w:spacing w:line="560" w:lineRule="exact"/>
        <w:outlineLvl w:val="0"/>
        <w:rPr>
          <w:rFonts w:hint="eastAsia" w:ascii="Calibri" w:hAnsi="Calibri" w:eastAsia="黑体" w:cs="Times New Roman"/>
          <w:kern w:val="44"/>
          <w:sz w:val="32"/>
          <w:lang w:eastAsia="zh-CN"/>
        </w:rPr>
      </w:pPr>
      <w:bookmarkStart w:id="0" w:name="_GoBack"/>
      <w:bookmarkEnd w:id="0"/>
      <w:r>
        <w:rPr>
          <w:rFonts w:hint="eastAsia" w:ascii="Calibri" w:hAnsi="Calibri" w:eastAsia="黑体" w:cs="Times New Roman"/>
          <w:kern w:val="44"/>
          <w:sz w:val="32"/>
        </w:rPr>
        <w:t>附件</w:t>
      </w:r>
      <w:r>
        <w:rPr>
          <w:rFonts w:hint="eastAsia" w:ascii="Calibri" w:hAnsi="Calibri" w:eastAsia="黑体" w:cs="Times New Roman"/>
          <w:kern w:val="44"/>
          <w:sz w:val="32"/>
          <w:lang w:val="en-US" w:eastAsia="zh-CN"/>
        </w:rPr>
        <w:t>2</w:t>
      </w:r>
    </w:p>
    <w:p>
      <w:pPr>
        <w:overflowPunct w:val="0"/>
        <w:spacing w:before="0" w:after="0"/>
        <w:jc w:val="center"/>
        <w:rPr>
          <w:rFonts w:hint="eastAsia" w:ascii="方正小标宋简体" w:hAnsi="方正小标宋简体" w:eastAsia="方正小标宋简体" w:cs="方正小标宋简体"/>
          <w:bCs/>
          <w:sz w:val="36"/>
          <w:szCs w:val="36"/>
        </w:rPr>
      </w:pPr>
    </w:p>
    <w:p>
      <w:pPr>
        <w:overflowPunct w:val="0"/>
        <w:spacing w:before="0" w:after="0"/>
        <w:rPr>
          <w:rFonts w:hint="eastAsia" w:ascii="方正小标宋简体" w:hAnsi="方正小标宋简体" w:eastAsia="方正小标宋简体" w:cs="方正小标宋简体"/>
          <w:bCs/>
          <w:sz w:val="44"/>
          <w:szCs w:val="44"/>
        </w:rPr>
      </w:pPr>
    </w:p>
    <w:p>
      <w:pPr>
        <w:overflowPunct w:val="0"/>
        <w:spacing w:before="0" w:after="0"/>
        <w:jc w:val="center"/>
        <w:rPr>
          <w:rFonts w:hint="eastAsia" w:ascii="方正小标宋简体" w:hAnsi="方正小标宋简体" w:eastAsia="方正小标宋简体" w:cs="方正小标宋简体"/>
          <w:bCs/>
          <w:sz w:val="44"/>
          <w:szCs w:val="44"/>
        </w:rPr>
      </w:pPr>
    </w:p>
    <w:p>
      <w:pPr>
        <w:overflowPunct w:val="0"/>
        <w:spacing w:before="0" w:after="0" w:line="72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深圳市银发消费产品</w:t>
      </w:r>
    </w:p>
    <w:p>
      <w:pPr>
        <w:overflowPunct w:val="0"/>
        <w:spacing w:before="0" w:after="0" w:line="72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bCs/>
          <w:sz w:val="48"/>
          <w:szCs w:val="48"/>
        </w:rPr>
        <w:t>申报材料（示例）</w:t>
      </w: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jc w:val="center"/>
        <w:rPr>
          <w:rFonts w:hint="eastAsia" w:ascii="方正小标宋简体" w:hAnsi="方正小标宋简体" w:eastAsia="方正小标宋简体" w:cs="方正小标宋简体"/>
          <w:sz w:val="44"/>
          <w:szCs w:val="44"/>
        </w:rPr>
      </w:pPr>
    </w:p>
    <w:p>
      <w:pPr>
        <w:overflowPunct w:val="0"/>
        <w:spacing w:before="0" w:after="0" w:line="560" w:lineRule="exact"/>
        <w:rPr>
          <w:rFonts w:hint="eastAsia" w:ascii="方正小标宋简体" w:hAnsi="方正小标宋简体" w:eastAsia="方正小标宋简体" w:cs="方正小标宋简体"/>
          <w:sz w:val="44"/>
          <w:szCs w:val="44"/>
        </w:rPr>
      </w:pPr>
    </w:p>
    <w:p>
      <w:pPr>
        <w:overflowPunct w:val="0"/>
        <w:spacing w:before="0" w:after="0" w:line="560" w:lineRule="exact"/>
        <w:ind w:firstLine="957" w:firstLineChars="266"/>
        <w:jc w:val="left"/>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bCs/>
          <w:sz w:val="36"/>
          <w:szCs w:val="36"/>
        </w:rPr>
        <w:t>申报银发消费产品类别：</w:t>
      </w:r>
      <w:r>
        <w:rPr>
          <w:rFonts w:hint="eastAsia" w:ascii="楷体_GB2312" w:hAnsi="楷体_GB2312" w:eastAsia="楷体_GB2312" w:cs="楷体_GB2312"/>
          <w:bCs/>
          <w:sz w:val="36"/>
          <w:szCs w:val="36"/>
          <w:u w:val="single"/>
        </w:rPr>
        <w:t xml:space="preserve">                 </w:t>
      </w:r>
    </w:p>
    <w:p>
      <w:pPr>
        <w:overflowPunct w:val="0"/>
        <w:spacing w:before="0" w:after="0" w:line="560" w:lineRule="exact"/>
        <w:ind w:firstLine="957" w:firstLineChars="266"/>
        <w:jc w:val="left"/>
        <w:rPr>
          <w:rFonts w:hint="eastAsia" w:ascii="楷体_GB2312" w:hAnsi="楷体_GB2312" w:eastAsia="楷体_GB2312" w:cs="楷体_GB2312"/>
          <w:bCs/>
          <w:sz w:val="36"/>
          <w:szCs w:val="36"/>
        </w:rPr>
      </w:pPr>
      <w:r>
        <w:rPr>
          <w:rFonts w:hint="eastAsia" w:ascii="楷体_GB2312" w:hAnsi="楷体_GB2312" w:eastAsia="楷体_GB2312" w:cs="楷体_GB2312"/>
          <w:bCs/>
          <w:sz w:val="36"/>
          <w:szCs w:val="36"/>
        </w:rPr>
        <w:t>项目申报单位（盖章）：</w:t>
      </w:r>
      <w:r>
        <w:rPr>
          <w:rFonts w:hint="eastAsia" w:ascii="楷体_GB2312" w:hAnsi="楷体_GB2312" w:eastAsia="楷体_GB2312" w:cs="楷体_GB2312"/>
          <w:bCs/>
          <w:sz w:val="36"/>
          <w:szCs w:val="36"/>
          <w:u w:val="single"/>
        </w:rPr>
        <w:t xml:space="preserve">                 </w:t>
      </w:r>
    </w:p>
    <w:p>
      <w:pPr>
        <w:overflowPunct w:val="0"/>
        <w:spacing w:before="0" w:after="0" w:line="560" w:lineRule="exact"/>
        <w:ind w:firstLine="957" w:firstLineChars="266"/>
        <w:jc w:val="left"/>
        <w:rPr>
          <w:rFonts w:hint="eastAsia" w:ascii="楷体_GB2312" w:hAnsi="楷体_GB2312" w:eastAsia="楷体_GB2312" w:cs="楷体_GB2312"/>
          <w:bCs/>
          <w:sz w:val="36"/>
          <w:szCs w:val="36"/>
        </w:rPr>
      </w:pPr>
      <w:r>
        <w:rPr>
          <w:rFonts w:hint="eastAsia" w:ascii="楷体_GB2312" w:hAnsi="楷体_GB2312" w:eastAsia="楷体_GB2312" w:cs="楷体_GB2312"/>
          <w:bCs/>
          <w:sz w:val="36"/>
          <w:szCs w:val="36"/>
        </w:rPr>
        <w:t>项目申报日期：</w:t>
      </w:r>
      <w:r>
        <w:rPr>
          <w:rFonts w:hint="eastAsia" w:ascii="楷体_GB2312" w:hAnsi="楷体_GB2312" w:eastAsia="楷体_GB2312" w:cs="楷体_GB2312"/>
          <w:bCs/>
          <w:sz w:val="36"/>
          <w:szCs w:val="36"/>
          <w:u w:val="single"/>
        </w:rPr>
        <w:t xml:space="preserve">                         </w:t>
      </w:r>
    </w:p>
    <w:p>
      <w:pPr>
        <w:jc w:val="center"/>
        <w:rPr>
          <w:rFonts w:hint="eastAsia" w:ascii="方正小标宋简体" w:hAnsi="方正小标宋简体" w:eastAsia="方正小标宋简体" w:cs="方正小标宋简体"/>
          <w:bCs/>
          <w:sz w:val="36"/>
          <w:szCs w:val="36"/>
        </w:rPr>
        <w:sectPr>
          <w:pgSz w:w="11906" w:h="16838"/>
          <w:pgMar w:top="1440" w:right="1587" w:bottom="1440" w:left="1803" w:header="1417" w:footer="1134" w:gutter="0"/>
          <w:cols w:space="720" w:num="1"/>
          <w:formProt w:val="0"/>
          <w:docGrid w:type="lines" w:linePitch="445" w:charSpace="0"/>
        </w:sectPr>
      </w:pPr>
    </w:p>
    <w:p>
      <w:pPr>
        <w:pStyle w:val="2"/>
        <w:keepNext/>
        <w:keepLines/>
        <w:pageBreakBefore w:val="0"/>
        <w:widowControl w:val="0"/>
        <w:kinsoku/>
        <w:wordWrap/>
        <w:overflowPunct/>
        <w:topLinePunct w:val="0"/>
        <w:autoSpaceDE/>
        <w:autoSpaceDN/>
        <w:bidi w:val="0"/>
        <w:adjustRightInd/>
        <w:snapToGrid/>
        <w:spacing w:line="720" w:lineRule="exact"/>
        <w:jc w:val="center"/>
        <w:textAlignment w:val="auto"/>
        <w:rPr>
          <w:rFonts w:ascii="仿宋_GB2312" w:hAnsi="仿宋_GB2312" w:eastAsia="仿宋_GB2312" w:cs="仿宋_GB2312"/>
          <w:sz w:val="84"/>
          <w:szCs w:val="84"/>
        </w:rPr>
      </w:pPr>
      <w:r>
        <w:rPr>
          <w:rFonts w:hint="eastAsia" w:ascii="方正小标宋简体" w:hAnsi="方正小标宋简体" w:eastAsia="方正小标宋简体" w:cs="方正小标宋简体"/>
          <w:b w:val="0"/>
          <w:bCs/>
          <w:kern w:val="2"/>
          <w:sz w:val="44"/>
          <w:szCs w:val="44"/>
        </w:rPr>
        <w:t>银发消费产品申报基本信息表</w:t>
      </w:r>
    </w:p>
    <w:tbl>
      <w:tblPr>
        <w:tblStyle w:val="1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069"/>
        <w:gridCol w:w="1612"/>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□国有企业 </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□民营企业 </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□外资企业  </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□社会组织</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□事业单位 </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网址（如有）</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员工总数</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项目经办人</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2024年度公司业务收入（万元）</w:t>
            </w:r>
          </w:p>
        </w:tc>
        <w:tc>
          <w:tcPr>
            <w:tcW w:w="2069"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c>
          <w:tcPr>
            <w:tcW w:w="161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其中，银发消费产品相关收入（万元）</w:t>
            </w:r>
          </w:p>
        </w:tc>
        <w:tc>
          <w:tcPr>
            <w:tcW w:w="2888"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公司基本介绍</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主营业务方向</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p>
          <w:p>
            <w:pPr>
              <w:overflowPunct w:val="0"/>
              <w:snapToGrid w:val="0"/>
              <w:spacing w:before="0" w:after="0" w:line="560" w:lineRule="exact"/>
              <w:rPr>
                <w:rFonts w:ascii="仿宋_GB2312" w:hAnsi="仿宋_GB2312" w:eastAsia="仿宋_GB2312" w:cs="仿宋_GB2312"/>
                <w:sz w:val="28"/>
                <w:szCs w:val="28"/>
              </w:rPr>
            </w:pPr>
          </w:p>
          <w:p>
            <w:pPr>
              <w:overflowPunct w:val="0"/>
              <w:snapToGrid w:val="0"/>
              <w:spacing w:before="0" w:after="0" w:line="560" w:lineRule="exact"/>
              <w:rPr>
                <w:rFonts w:ascii="仿宋_GB2312" w:hAnsi="仿宋_GB2312" w:eastAsia="仿宋_GB2312" w:cs="仿宋_GB2312"/>
                <w:sz w:val="28"/>
                <w:szCs w:val="28"/>
              </w:rPr>
            </w:pPr>
          </w:p>
          <w:p>
            <w:pPr>
              <w:overflowPunct w:val="0"/>
              <w:snapToGrid w:val="0"/>
              <w:spacing w:before="0" w:after="0" w:line="5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产品介绍（200字以内）</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包括不限于：产品功能、国内外同类产品对比、市场地位等；同时可用于获评后对外宣传使用</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核心技术阐述</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（200字以内）</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如：技术原理与创新点、技术优势与壁垒、知识产权情况： □已申请专利 □已授权专利 □软件著作权 □其他 ，请注明具体名称与登记号，可另附页列出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研发团队信息</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团队规模： ______人，其中核心研发人员 ______人。</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团队背景：（请简要介绍团队核心成员的背景，如学术研究、行业经验、过往成功案例等，突出与银发人群需求相关的专业能力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合作机构：（如有与高校、科研院所、医疗机构等合作研发，请在此说明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适老性与创新性（200字以内）</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阐述产品在人性化设计、安全性、便捷性、智能交互等方面的考量与创新</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4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应用案例（不少于3个）</w:t>
            </w:r>
          </w:p>
        </w:tc>
        <w:tc>
          <w:tcPr>
            <w:tcW w:w="6569" w:type="dxa"/>
            <w:gridSpan w:val="3"/>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介绍产品实际用户使用案例、效果跟踪等</w:t>
            </w:r>
            <w:r>
              <w:rPr>
                <w:rFonts w:hint="eastAsia" w:ascii="仿宋_GB2312" w:hAnsi="仿宋_GB2312" w:eastAsia="仿宋_GB2312" w:cs="仿宋_GB2312"/>
                <w:sz w:val="28"/>
                <w:szCs w:val="28"/>
                <w:lang w:eastAsia="zh-CN"/>
              </w:rPr>
              <w:t>。</w:t>
            </w:r>
          </w:p>
        </w:tc>
      </w:tr>
    </w:tbl>
    <w:p>
      <w:pPr>
        <w:jc w:val="center"/>
        <w:rPr>
          <w:rFonts w:ascii="仿宋_GB2312" w:hAnsi="仿宋_GB2312" w:eastAsia="仿宋_GB2312" w:cs="仿宋_GB2312"/>
        </w:rPr>
      </w:pPr>
    </w:p>
    <w:p>
      <w:pPr>
        <w:rPr>
          <w:rFonts w:ascii="仿宋_GB2312" w:hAnsi="仿宋_GB2312" w:eastAsia="仿宋_GB2312" w:cs="仿宋_GB2312"/>
          <w:sz w:val="44"/>
          <w:szCs w:val="32"/>
        </w:rPr>
      </w:pPr>
      <w:r>
        <w:rPr>
          <w:rFonts w:hint="eastAsia" w:ascii="仿宋_GB2312" w:hAnsi="仿宋_GB2312" w:eastAsia="仿宋_GB2312" w:cs="仿宋_GB2312"/>
          <w:sz w:val="44"/>
          <w:szCs w:val="32"/>
        </w:rPr>
        <w:br w:type="page"/>
      </w:r>
    </w:p>
    <w:p>
      <w:pPr>
        <w:keepNext w:val="0"/>
        <w:keepLines w:val="0"/>
        <w:pageBreakBefore w:val="0"/>
        <w:widowControl w:val="0"/>
        <w:kinsoku/>
        <w:wordWrap/>
        <w:overflowPunct w:val="0"/>
        <w:topLinePunct w:val="0"/>
        <w:autoSpaceDE/>
        <w:autoSpaceDN/>
        <w:bidi w:val="0"/>
        <w:adjustRightInd/>
        <w:snapToGrid/>
        <w:spacing w:before="0" w:after="0" w:line="7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银发消费产品申报表</w:t>
      </w:r>
    </w:p>
    <w:tbl>
      <w:tblPr>
        <w:tblStyle w:val="1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21"/>
        <w:gridCol w:w="2129"/>
        <w:gridCol w:w="2798"/>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3" w:type="dxa"/>
            <w:gridSpan w:val="2"/>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产品类别</w:t>
            </w:r>
          </w:p>
        </w:tc>
        <w:tc>
          <w:tcPr>
            <w:tcW w:w="6484" w:type="dxa"/>
            <w:gridSpan w:val="3"/>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请按照《银发消费产品征集品类划分》填报，具体到一二级目录，例如“银发日用产品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老年服饰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类别</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3" w:type="dxa"/>
            <w:gridSpan w:val="2"/>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市场推广品牌</w:t>
            </w:r>
          </w:p>
        </w:tc>
        <w:tc>
          <w:tcPr>
            <w:tcW w:w="6484" w:type="dxa"/>
            <w:gridSpan w:val="3"/>
            <w:vAlign w:val="center"/>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商品名称</w:t>
            </w:r>
          </w:p>
        </w:tc>
        <w:tc>
          <w:tcPr>
            <w:tcW w:w="6484" w:type="dxa"/>
            <w:gridSpan w:val="3"/>
            <w:tcBorders>
              <w:top w:val="single" w:color="auto" w:sz="4" w:space="0"/>
              <w:left w:val="single" w:color="auto" w:sz="4" w:space="0"/>
              <w:bottom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产品型号/规格</w:t>
            </w:r>
          </w:p>
        </w:tc>
        <w:tc>
          <w:tcPr>
            <w:tcW w:w="6484" w:type="dxa"/>
            <w:gridSpan w:val="3"/>
            <w:tcBorders>
              <w:top w:val="single" w:color="auto" w:sz="4" w:space="0"/>
              <w:left w:val="single" w:color="auto" w:sz="4" w:space="0"/>
              <w:bottom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产品公开售卖链接</w:t>
            </w:r>
          </w:p>
        </w:tc>
        <w:tc>
          <w:tcPr>
            <w:tcW w:w="6484" w:type="dxa"/>
            <w:gridSpan w:val="3"/>
            <w:tcBorders>
              <w:top w:val="single" w:color="auto" w:sz="4" w:space="0"/>
              <w:left w:val="single" w:color="auto" w:sz="4" w:space="0"/>
              <w:bottom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如京东、淘宝链接</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2129"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p>
        </w:tc>
        <w:tc>
          <w:tcPr>
            <w:tcW w:w="2798"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首次上市时间</w:t>
            </w:r>
          </w:p>
        </w:tc>
        <w:tc>
          <w:tcPr>
            <w:tcW w:w="1557" w:type="dxa"/>
            <w:tcBorders>
              <w:left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333"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近1年累计销量（元）</w:t>
            </w:r>
          </w:p>
        </w:tc>
        <w:tc>
          <w:tcPr>
            <w:tcW w:w="2129"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p>
        </w:tc>
        <w:tc>
          <w:tcPr>
            <w:tcW w:w="2798"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上市后累计销量（元）</w:t>
            </w:r>
          </w:p>
        </w:tc>
        <w:tc>
          <w:tcPr>
            <w:tcW w:w="1557" w:type="dxa"/>
            <w:tcBorders>
              <w:left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产品</w:t>
            </w:r>
            <w:r>
              <w:rPr>
                <w:rFonts w:hint="eastAsia" w:ascii="仿宋_GB2312" w:hAnsi="仿宋_GB2312" w:eastAsia="仿宋_GB2312" w:cs="仿宋_GB2312"/>
                <w:sz w:val="28"/>
                <w:szCs w:val="28"/>
              </w:rPr>
              <w:t>亮点、特色</w:t>
            </w:r>
          </w:p>
        </w:tc>
        <w:tc>
          <w:tcPr>
            <w:tcW w:w="8105" w:type="dxa"/>
            <w:gridSpan w:val="4"/>
            <w:tcBorders>
              <w:top w:val="single" w:color="auto" w:sz="4" w:space="0"/>
              <w:left w:val="single" w:color="auto" w:sz="4" w:space="0"/>
              <w:bottom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产品图片</w:t>
            </w:r>
          </w:p>
        </w:tc>
        <w:tc>
          <w:tcPr>
            <w:tcW w:w="8105" w:type="dxa"/>
            <w:gridSpan w:val="4"/>
            <w:tcBorders>
              <w:top w:val="single" w:color="auto" w:sz="4" w:space="0"/>
              <w:left w:val="single" w:color="auto" w:sz="4" w:space="0"/>
              <w:bottom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3-6张高清产品图片</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主要销售渠道</w:t>
            </w:r>
          </w:p>
        </w:tc>
        <w:tc>
          <w:tcPr>
            <w:tcW w:w="8105" w:type="dxa"/>
            <w:gridSpan w:val="4"/>
            <w:tcBorders>
              <w:top w:val="single" w:color="auto" w:sz="4" w:space="0"/>
              <w:left w:val="single" w:color="auto" w:sz="4" w:space="0"/>
              <w:bottom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产品相关奖励情况</w:t>
            </w:r>
          </w:p>
        </w:tc>
        <w:tc>
          <w:tcPr>
            <w:tcW w:w="8105" w:type="dxa"/>
            <w:gridSpan w:val="4"/>
            <w:tcBorders>
              <w:top w:val="single" w:color="auto" w:sz="4" w:space="0"/>
              <w:left w:val="single" w:color="auto" w:sz="4" w:space="0"/>
              <w:bottom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真实性承诺</w:t>
            </w:r>
          </w:p>
        </w:tc>
        <w:tc>
          <w:tcPr>
            <w:tcW w:w="8105" w:type="dxa"/>
            <w:gridSpan w:val="4"/>
            <w:tcBorders>
              <w:top w:val="single" w:color="auto" w:sz="4" w:space="0"/>
              <w:left w:val="single" w:color="auto" w:sz="4" w:space="0"/>
              <w:bottom w:val="single" w:color="auto" w:sz="4" w:space="0"/>
            </w:tcBorders>
          </w:tcPr>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我单位申报的所有材料，均真实、完整，如有不实，愿承担相应责任。</w:t>
            </w:r>
          </w:p>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负责人签字</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p>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公章：</w:t>
            </w:r>
          </w:p>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overflowPunct w:val="0"/>
              <w:snapToGrid w:val="0"/>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rPr>
          <w:rFonts w:ascii="仿宋_GB2312" w:hAnsi="仿宋_GB2312" w:eastAsia="仿宋_GB2312" w:cs="仿宋_GB2312"/>
        </w:rPr>
      </w:pPr>
    </w:p>
    <w:p>
      <w:pPr>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申报单位负责人签字：</w:t>
      </w:r>
    </w:p>
    <w:p>
      <w:pPr>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（单位公章）</w:t>
      </w:r>
    </w:p>
    <w:p>
      <w:pPr>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【XXXX年XX月XX日】</w:t>
      </w:r>
    </w:p>
    <w:p>
      <w:pPr>
        <w:rPr>
          <w:rFonts w:ascii="仿宋_GB2312" w:hAnsi="仿宋_GB2312" w:eastAsia="仿宋_GB2312" w:cs="仿宋_GB2312"/>
          <w:sz w:val="44"/>
          <w:szCs w:val="32"/>
        </w:rPr>
      </w:pPr>
    </w:p>
    <w:p>
      <w:pPr>
        <w:rPr>
          <w:rFonts w:ascii="仿宋_GB2312" w:hAnsi="仿宋_GB2312" w:eastAsia="仿宋_GB2312" w:cs="仿宋_GB2312"/>
          <w:sz w:val="44"/>
          <w:szCs w:val="32"/>
        </w:rPr>
      </w:pPr>
      <w:r>
        <w:rPr>
          <w:rFonts w:ascii="仿宋_GB2312" w:hAnsi="仿宋_GB2312" w:eastAsia="仿宋_GB2312" w:cs="仿宋_GB2312"/>
          <w:sz w:val="44"/>
          <w:szCs w:val="32"/>
        </w:rPr>
        <w:br w:type="page"/>
      </w:r>
    </w:p>
    <w:p>
      <w:pPr>
        <w:keepNext/>
        <w:keepLines/>
        <w:widowControl w:val="0"/>
        <w:overflowPunct w:val="0"/>
        <w:bidi w:val="0"/>
        <w:spacing w:beforeLines="0" w:beforeAutospacing="0" w:afterLines="0" w:afterAutospacing="0" w:line="560" w:lineRule="exact"/>
        <w:ind w:left="0" w:leftChars="0" w:firstLine="0" w:firstLineChars="0"/>
        <w:jc w:val="both"/>
        <w:outlineLvl w:val="0"/>
        <w:rPr>
          <w:rFonts w:ascii="仿宋_GB2312" w:hAnsi="仿宋_GB2312" w:eastAsia="仿宋_GB2312" w:cs="仿宋_GB2312"/>
          <w:sz w:val="44"/>
          <w:szCs w:val="32"/>
        </w:rPr>
      </w:pPr>
      <w:r>
        <w:rPr>
          <w:rFonts w:hint="eastAsia" w:ascii="Calibri" w:hAnsi="Calibri" w:eastAsia="黑体" w:cs="Times New Roman"/>
          <w:kern w:val="44"/>
          <w:sz w:val="32"/>
          <w:szCs w:val="24"/>
          <w:lang w:val="en-US" w:eastAsia="zh-CN" w:bidi="ar-SA"/>
        </w:rPr>
        <w:t>补充</w:t>
      </w:r>
    </w:p>
    <w:p>
      <w:pPr>
        <w:keepNext w:val="0"/>
        <w:keepLines w:val="0"/>
        <w:pageBreakBefore w:val="0"/>
        <w:widowControl w:val="0"/>
        <w:kinsoku/>
        <w:wordWrap/>
        <w:overflowPunct w:val="0"/>
        <w:topLinePunct w:val="0"/>
        <w:autoSpaceDE/>
        <w:autoSpaceDN/>
        <w:bidi w:val="0"/>
        <w:adjustRightInd/>
        <w:snapToGrid/>
        <w:spacing w:before="0" w:after="0" w:line="7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银发消费产品申报资料清单</w:t>
      </w:r>
    </w:p>
    <w:tbl>
      <w:tblPr>
        <w:tblStyle w:val="18"/>
        <w:tblpPr w:leftFromText="180" w:rightFromText="180" w:vertAnchor="text" w:horzAnchor="page" w:tblpXSpec="center" w:tblpY="451"/>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562"/>
        <w:gridCol w:w="1657"/>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562" w:type="dxa"/>
            <w:tcMar>
              <w:top w:w="150" w:type="dxa"/>
              <w:left w:w="24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申报材料名称</w:t>
            </w:r>
          </w:p>
        </w:tc>
        <w:tc>
          <w:tcPr>
            <w:tcW w:w="1657" w:type="dxa"/>
            <w:tcMar>
              <w:top w:w="150" w:type="dxa"/>
              <w:left w:w="24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填报要求</w:t>
            </w:r>
          </w:p>
        </w:tc>
        <w:tc>
          <w:tcPr>
            <w:tcW w:w="4018" w:type="dxa"/>
            <w:tcMar>
              <w:top w:w="150" w:type="dxa"/>
              <w:left w:w="24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银发消费产品申报单位基本信息表</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4018" w:type="dxa"/>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详见附件</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银发消费产品申报表</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4018" w:type="dxa"/>
            <w:tcMar>
              <w:top w:w="150" w:type="dxa"/>
              <w:left w:w="240" w:type="dxa"/>
              <w:bottom w:w="150" w:type="dxa"/>
              <w:right w:w="24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详见附件</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营业执照/法人登记证书</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确保在有效期内，上传彩色扫描件</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违法诉讼自查截图</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※必备</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中国信用网报告</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产品内容PPT、视频、报告等辅助资料</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如产品介绍、产品宣传片等</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产品知识产权证明</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如专利、软件著作权证书等</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相关资质/标准符合性认证</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如ISO体系、医疗器械注册证、产品质量检测报告、各类国际/国内标准等</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用户评价或典型案例</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如用户满意度调研、第三方研究报告等</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Mar>
              <w:top w:w="150" w:type="dxa"/>
              <w:left w:w="0" w:type="dxa"/>
              <w:bottom w:w="150" w:type="dxa"/>
              <w:right w:w="240" w:type="dxa"/>
            </w:tcMar>
            <w:vAlign w:val="center"/>
          </w:tcPr>
          <w:p>
            <w:pPr>
              <w:overflowPunct w:val="0"/>
              <w:snapToGrid w:val="0"/>
              <w:spacing w:before="0" w:after="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2562"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其他有助于评审的证明材料</w:t>
            </w:r>
          </w:p>
        </w:tc>
        <w:tc>
          <w:tcPr>
            <w:tcW w:w="1657" w:type="dxa"/>
            <w:tcMar>
              <w:top w:w="150" w:type="dxa"/>
              <w:left w:w="240" w:type="dxa"/>
              <w:bottom w:w="150" w:type="dxa"/>
              <w:right w:w="240" w:type="dxa"/>
            </w:tcMar>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可选</w:t>
            </w:r>
          </w:p>
        </w:tc>
        <w:tc>
          <w:tcPr>
            <w:tcW w:w="4018" w:type="dxa"/>
            <w:tcMar>
              <w:top w:w="150" w:type="dxa"/>
              <w:left w:w="240" w:type="dxa"/>
              <w:bottom w:w="150" w:type="dxa"/>
              <w:right w:w="0" w:type="dxa"/>
            </w:tcMar>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如所获荣誉、媒体报告等</w:t>
            </w:r>
            <w:r>
              <w:rPr>
                <w:rFonts w:hint="eastAsia" w:ascii="仿宋_GB2312" w:hAnsi="仿宋_GB2312" w:eastAsia="仿宋_GB2312" w:cs="仿宋_GB2312"/>
                <w:sz w:val="28"/>
                <w:szCs w:val="28"/>
                <w:lang w:eastAsia="zh-CN"/>
              </w:rPr>
              <w:t>。</w:t>
            </w:r>
          </w:p>
        </w:tc>
      </w:tr>
    </w:tbl>
    <w:p>
      <w:pPr>
        <w:rPr>
          <w:rFonts w:ascii="仿宋_GB2312" w:hAnsi="仿宋_GB2312" w:eastAsia="仿宋_GB2312" w:cs="仿宋_GB2312"/>
        </w:rPr>
      </w:pPr>
      <w:r>
        <w:rPr>
          <w:rFonts w:ascii="仿宋_GB2312" w:hAnsi="仿宋_GB2312" w:eastAsia="仿宋_GB2312" w:cs="仿宋_GB2312"/>
        </w:rPr>
        <w:br w:type="page"/>
      </w:r>
    </w:p>
    <w:p>
      <w:pPr>
        <w:rPr>
          <w:rFonts w:ascii="仿宋_GB2312" w:hAnsi="仿宋_GB2312" w:eastAsia="仿宋_GB2312" w:cs="仿宋_GB2312"/>
        </w:rPr>
      </w:pPr>
    </w:p>
    <w:p>
      <w:pPr>
        <w:keepNext w:val="0"/>
        <w:keepLines w:val="0"/>
        <w:pageBreakBefore w:val="0"/>
        <w:widowControl w:val="0"/>
        <w:kinsoku/>
        <w:wordWrap/>
        <w:overflowPunct w:val="0"/>
        <w:topLinePunct w:val="0"/>
        <w:autoSpaceDE/>
        <w:autoSpaceDN/>
        <w:bidi w:val="0"/>
        <w:adjustRightInd/>
        <w:snapToGrid/>
        <w:spacing w:before="0" w:after="0" w:line="7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银发消费产品征集品类划分</w:t>
      </w:r>
    </w:p>
    <w:tbl>
      <w:tblPr>
        <w:tblStyle w:val="18"/>
        <w:tblpPr w:leftFromText="180" w:rightFromText="180" w:vertAnchor="text" w:horzAnchor="page" w:tblpX="1606" w:tblpY="416"/>
        <w:tblOverlap w:val="never"/>
        <w:tblW w:w="933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487"/>
        <w:gridCol w:w="1588"/>
        <w:gridCol w:w="625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领域</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品类</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释义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银发日用产品</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老年服饰</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专为银发族设计</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服饰服装、鞋帽、眼镜、钟表等，注重易穿脱、舒适与安全，具备防滑、保暖、易护理等特性，兼顾时尚与尊严。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老年家用电器</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特指针对银发群体开发或适合银发群体操作的电脑、移动电话、计算机、软件及辅助设备</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老年营养和保健品</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特指符合银发群体营养需求的食品、营养补充素、保健食品或专供老年人康复、按摩的保健用品，如艾灸贴、刮痧头梳、养生理疗枕等。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老年辅助产品</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w:t>
            </w:r>
            <w:r>
              <w:rPr>
                <w:rFonts w:hint="eastAsia" w:ascii="仿宋_GB2312" w:hAnsi="仿宋_GB2312" w:eastAsia="仿宋_GB2312" w:cs="仿宋_GB2312"/>
                <w:sz w:val="28"/>
                <w:szCs w:val="28"/>
                <w:lang w:eastAsia="zh-CN"/>
              </w:rPr>
              <w:t>专</w:t>
            </w:r>
            <w:r>
              <w:rPr>
                <w:rFonts w:hint="eastAsia" w:ascii="仿宋_GB2312" w:hAnsi="仿宋_GB2312" w:eastAsia="仿宋_GB2312" w:cs="仿宋_GB2312"/>
                <w:sz w:val="28"/>
                <w:szCs w:val="28"/>
              </w:rPr>
              <w:t>为老年人设计的日用杂品制造（晴雨两用拐杖伞）</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美妆个护</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针对熟龄肌肤与发质研发的温和、高效护理产品，涵盖抗衰护肤品、遮盖白发产品及简易淡妆品，帮助</w:t>
            </w:r>
            <w:r>
              <w:rPr>
                <w:rFonts w:hint="eastAsia" w:ascii="仿宋_GB2312" w:hAnsi="仿宋_GB2312" w:eastAsia="仿宋_GB2312" w:cs="仿宋_GB2312"/>
                <w:sz w:val="28"/>
                <w:szCs w:val="28"/>
                <w:lang w:eastAsia="zh-CN"/>
              </w:rPr>
              <w:t>老年群体</w:t>
            </w:r>
            <w:r>
              <w:rPr>
                <w:rFonts w:hint="eastAsia" w:ascii="仿宋_GB2312" w:hAnsi="仿宋_GB2312" w:eastAsia="仿宋_GB2312" w:cs="仿宋_GB2312"/>
                <w:sz w:val="28"/>
                <w:szCs w:val="28"/>
              </w:rPr>
              <w:t>焕发自信光彩。</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银发文体旅游娱乐</w:t>
            </w:r>
            <w:r>
              <w:rPr>
                <w:rFonts w:hint="eastAsia" w:ascii="仿宋_GB2312" w:hAnsi="仿宋_GB2312" w:eastAsia="仿宋_GB2312" w:cs="仿宋_GB2312"/>
                <w:sz w:val="28"/>
                <w:szCs w:val="28"/>
                <w:lang w:eastAsia="zh-CN"/>
              </w:rPr>
              <w:t>产品</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养老教育和技能培训</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①养老相关专业教育（如院校中为养老服务开设的相关专业教育，或开设的相关课程中提供的养老技能培训活动和养老服务实训基地服务）；</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②职业技能培训（如养老服务、老年护理、老年康复、健康管理、保健按摩、公共营养等技能培训活动）；</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③家庭护老技能培训（如失能老年人家庭成员照护培训活动）。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老年教育</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通过老年大学、线上课程等形式，提供兴趣培养、技能提升及社会适应等终身学习服务。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老年旅游服务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服务范围与老年人相关性较强，安全、舒适、深度的主题旅游与中长期旅居产品。例如老年人定制旅游服务（银发专列）</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老年体育健身</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①老年体育健身产品（特指为银发群体生产或适合老年人运动使用的体育用品、健身器材，如上下肢一体机，中老年专用抗阻圈）；</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②运动休闲和群众体育活动（特指针对老年人健身活动课程、设备租赁零售等服务的活动）；</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③体育健康服务（特指国民体质监测与康体服务，以及科学健身调理、社会体育指导员、运动康复按摩、体育健康指导等服务）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老年文化娱乐</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①老年文化产品（特指以</w:t>
            </w:r>
            <w:r>
              <w:rPr>
                <w:rFonts w:hint="eastAsia" w:ascii="仿宋_GB2312" w:hAnsi="仿宋_GB2312" w:eastAsia="仿宋_GB2312" w:cs="仿宋_GB2312"/>
                <w:sz w:val="28"/>
                <w:szCs w:val="28"/>
                <w:lang w:eastAsia="zh-CN"/>
              </w:rPr>
              <w:t>老年人</w:t>
            </w:r>
            <w:r>
              <w:rPr>
                <w:rFonts w:hint="eastAsia" w:ascii="仿宋_GB2312" w:hAnsi="仿宋_GB2312" w:eastAsia="仿宋_GB2312" w:cs="仿宋_GB2312"/>
                <w:sz w:val="28"/>
                <w:szCs w:val="28"/>
              </w:rPr>
              <w:t>为主要读者群的图书、报刊、音像制品、电子和数字出版物、乐器、视听设备等）；</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②老年文化娱乐活动（特指针对老年人的健身活动课程、设备租赁零售等服务的活动</w:t>
            </w:r>
            <w:r>
              <w:rPr>
                <w:rFonts w:hint="eastAsia" w:ascii="仿宋_GB2312" w:hAnsi="仿宋_GB2312" w:eastAsia="仿宋_GB2312" w:cs="仿宋_GB2312"/>
                <w:sz w:val="28"/>
                <w:szCs w:val="28"/>
                <w:lang w:eastAsia="zh-CN"/>
              </w:rPr>
              <w:t>及以</w:t>
            </w:r>
            <w:r>
              <w:rPr>
                <w:rFonts w:hint="eastAsia" w:ascii="仿宋_GB2312" w:hAnsi="仿宋_GB2312" w:eastAsia="仿宋_GB2312" w:cs="仿宋_GB2312"/>
                <w:sz w:val="28"/>
                <w:szCs w:val="28"/>
              </w:rPr>
              <w:t>老年人为主要参与对象的体育表演服务）；</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③养老传媒服务（特指养老健康、文化、娱乐、社会参与等相关活动的新闻采访、影视剧、戏剧）；</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④养老相关展览服务（特指与老年人相关的健康文化会展、智慧养老产业博览会、国际老龄博览会等服务）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老年婚姻服务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特指为老年人婚姻服务，例如老年婚介所提供的婚姻介绍、婚庆典礼等服务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养老服务产品</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养老照护服务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①居家养老（对居家老</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人进行生活照料、康复护理等服务）；</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②社区养老（主要面向老年人和残疾人提供的长期照料、养护、关爱等服务机构）；</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③机构养老照护服务（指以疗养、康复为主，治疗为辅的医疗服务活动）</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老年人社会救助</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指对生活无着流浪等其他人员的收养救助等活动，如老年人的最低生活保障、临时救助、自然灾害生活救助、医疗救助，特困老年人员救助供养，生活无着的老年人救助等</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养老人力资源服务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①养老职业技能服务/人力资源开发服务（特指针对养老护理员等职业技能考核和鉴定服务、为老年人制定人才开发专项服务，例如中国人才网、老年人才信息网、老龄人力资源平台等服务）；</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②养老就业服务（特指专门为老年人提供家政、护理、康复等服务的养老服务岗位人员的就业服务）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老年法律服务和法律援助</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特指针对老年群体特点开展适应老年人特殊需求的专项法律服务活动及为老年人办理的减免费用的公证服务。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适老化改造</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①养老设施建设、改造及装修维修（特指老年人专用设备修理及老年养护院、养老院、老年照料中心、敬老院等公共场所的建筑装饰和装修）；</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②住宅适老化及无障碍改造（特指适应老年人生活特点和安全需要的家庭住宅装修、家具设施、辅助设备等适老化、无障碍改造）；</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③公共设施适老化及无障碍改造（特指适老化改造、无障碍改造等安装活动，例如安全护栏、扶手及照明设施，老年人自主安全地通行道路等）</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老年相关产品租赁</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服务范围与老年人相关性较强，例如血压计、血糖仪、护理床、理疗仪器、疼痛按摩器材等</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其他养老服务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包含老年志愿者、慈善、社会福利、彩票公益金、代理服务等</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银发医疗健康产品</w:t>
            </w:r>
          </w:p>
        </w:tc>
        <w:tc>
          <w:tcPr>
            <w:tcW w:w="1588" w:type="dxa"/>
            <w:tcBorders>
              <w:top w:val="single" w:color="000000" w:sz="4" w:space="0"/>
              <w:left w:val="single" w:color="000000" w:sz="4" w:space="0"/>
              <w:bottom w:val="single" w:color="000000" w:sz="0"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生命科学</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①抗衰（如抗衰老机理研究、老年疾病药物研发、中成药研发、基因工程药</w:t>
            </w:r>
            <w:r>
              <w:rPr>
                <w:rFonts w:hint="eastAsia" w:ascii="仿宋_GB2312" w:hAnsi="仿宋_GB2312" w:eastAsia="仿宋_GB2312" w:cs="仿宋_GB2312"/>
                <w:sz w:val="28"/>
                <w:szCs w:val="28"/>
                <w:lang w:eastAsia="zh-CN"/>
              </w:rPr>
              <w:t>物和</w:t>
            </w:r>
            <w:r>
              <w:rPr>
                <w:rFonts w:hint="eastAsia" w:ascii="仿宋_GB2312" w:hAnsi="仿宋_GB2312" w:eastAsia="仿宋_GB2312" w:cs="仿宋_GB2312"/>
                <w:sz w:val="28"/>
                <w:szCs w:val="28"/>
              </w:rPr>
              <w:t>干细胞治疗产品、医美等）；</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②干细胞（包括干细胞药物、基因工程药物等研发与生产）；</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③菌群（包括益生菌药物、微生态制剂等治疗性产品的研发与生产）</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老年康复护理服务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老年病专科（心血管、糖尿病、骨质疏松、</w:t>
            </w:r>
            <w:r>
              <w:rPr>
                <w:rFonts w:hint="eastAsia" w:ascii="仿宋_GB2312" w:hAnsi="仿宋_GB2312" w:eastAsia="仿宋_GB2312" w:cs="仿宋_GB2312"/>
                <w:sz w:val="28"/>
                <w:szCs w:val="28"/>
                <w:lang w:eastAsia="zh-CN"/>
              </w:rPr>
              <w:t>阿尔茨海默病</w:t>
            </w:r>
            <w:r>
              <w:rPr>
                <w:rFonts w:hint="eastAsia" w:ascii="仿宋_GB2312" w:hAnsi="仿宋_GB2312" w:eastAsia="仿宋_GB2312" w:cs="仿宋_GB2312"/>
                <w:sz w:val="28"/>
                <w:szCs w:val="28"/>
              </w:rPr>
              <w:t>等）、精神康复及以疗养、康复为主，治疗为辅的医疗服务活动</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老年药品</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特指维护调节促进老年人生理、心理机能及老年疾病治疗的中西药品，如老年人常见的高血压、高血糖、高血脂、骨质疏松、止痛药、消化道疾病所需药物</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老年人疾病诊疗服务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指对各种专科疾病进行预防及群众预防的活动</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老年健康养生服务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①中医理疗（指中医养生保健（非医疗）和其他专业养生保健等服务）；</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②老年预防保健和健康管理（服务范围与老年人相关性较强，如老年人健康体检）；</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③老年心理健康（特指以提高老年人健康水平为目的开展的健康咨询服务）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安宁疗护服务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服务范围与老年人相关性较强</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其他未列明老年医疗卫生服务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特指医养结合或康养服务等未列明的老年医疗卫生服务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养老金融产品</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老年社会保险</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①基本养老保险（全营行业，含有养老保险关键字眼）；</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②基本医疗保险（如老年人的职工基本医疗保险、老年大病保险等）；</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③长期护理保险（特指为长期失能、部分失能老年人的基本生活照料以及与基本生活密切相关的医疗护理提供资金或服务保障的社会保险服务）；</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④老年补充险（特指针对老年人的补充医疗和其他补充保险）。</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老年商业保险</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①老年寿险（如定期寿险、终身寿险、两全保险）；</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②老年健康险（如疾病保险、护理保险等）；</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③机构责任险（特指被保险人从事养老服务时因过失导致意外事故造成人身伤亡、财产损失的赔偿责任为保险标的的保险）；</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④意外伤害险</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商业养老保险</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①养老年金保险；</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②住房反向抵押养老保险（特指将住房反向抵押与养老年金保险相结合的商业养老保险服务）；</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③其他商业养老保险（特指与商业养老保险等相关的再保险活动）</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养老理财服务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特指银行养老理财服务和银行理财子公司养老理财服务</w:t>
            </w: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及专门为老年人提供生活照料、康复护理等服务的营利性或非营利性养老项目发行养老产业专项债券，用于建设养老服务设施设备和提供养老服务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养老金信托</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特指养老保险经办机构将单位和个人按照有关法律、法规规定缴纳的养老保险费作为信托资产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eastAsia="zh-CN"/>
              </w:rPr>
              <w:t>由</w:t>
            </w:r>
            <w:r>
              <w:rPr>
                <w:rFonts w:hint="eastAsia" w:ascii="仿宋_GB2312" w:hAnsi="仿宋_GB2312" w:eastAsia="仿宋_GB2312" w:cs="仿宋_GB2312"/>
                <w:sz w:val="28"/>
                <w:szCs w:val="28"/>
              </w:rPr>
              <w:t>金融信托机构管理和经营，职工退休后获益的一种信托形式</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养老债券</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特指专门为老年人提供生活照料、康复护理等服务的营利性或非营利性养老项目发行养老产业专项债券，用于建设养老服务设施设备和提供养老服务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其他养老金融服务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特指营利性养老机构以有偿取得的土地设施等资产进行抵押融资的金融服务和养老融资服务等其他养老金融服务</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银发智能科技产品</w:t>
            </w: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脑科学</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包含基础研究与技术开发、医疗设备与器械、信息技术与硬件（可穿戴脑电监测设备、神经反馈头环）</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0"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智能家居</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包括智能冰箱、智能空调、智能洗衣机等产品及智能灯具及控制系统</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智能机器人</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工业机械臂、AGV等工业场景机器人及医疗、物流、家庭服务机器人</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老年医疗器械和康复辅具</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指各种治疗设备、病房护理及康复的专用设备。包含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①用于改善、补偿、替代人体功能和辅助性治疗康复辅助器具（如假肢、矫形器、轮椅和助行器、助听器和人工耳蜗等产品）；</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②用于病房护理、老年病的康复理疗等医疗设备（如成人护理垫、老年纸尿垫、如厕辅助器具、认知治疗辅助器具等产品）</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养老科技服务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①养老科学研究和试验发展（如医学研究及社会科学研究）；</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②养老科技推广和应用服务（如抗衰老领域、创业基地孵化器领域及老年人健康相关的新技术、新产品、新工艺）；</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③养老产品质检技术服务（特指养老相关食品、药品、医疗用品及器材等健康相关产品的质量、检测、检验和出入境检验检疫、测试、鉴定等活动）</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智慧养老服务</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①互联网养老服务平台（专门为老年人服务提供第三方服务平台的互联网活动，包括互联网养老服务和产品销售平台、互联网老年旅游出行服务平台等）</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②养老大数据与云计算服务（特指面向养老行业相关数据处理与存储等服务）；</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③物联网养老技术服务（特指面向养老行业所开展的物联网咨询、设计、建设、维护、管理等服务，物联网和远程智能安防监控技术服务）</w:t>
            </w:r>
            <w:r>
              <w:rPr>
                <w:rFonts w:hint="eastAsia" w:ascii="仿宋_GB2312" w:hAnsi="仿宋_GB2312" w:eastAsia="仿宋_GB2312" w:cs="仿宋_GB2312"/>
                <w:sz w:val="28"/>
                <w:szCs w:val="28"/>
                <w:lang w:eastAsia="zh-CN"/>
              </w:rPr>
              <w:t>；</w:t>
            </w:r>
          </w:p>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④其他智慧养老技术服务（特指与养老相关的应用软件开发与经营及属于数字化智慧养老范畴的其他数据内容服务，如具备监测功能的产品及数字化管理平台）</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老年智能与可穿戴装备</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如老年人健康管理智能手环，含血压、心率、血脂监测等功能；除工业和特殊作业以外的各种机器人，包括用于个人、家庭及商业服务类机器人</w:t>
            </w:r>
            <w:r>
              <w:rPr>
                <w:rFonts w:hint="eastAsia" w:ascii="仿宋_GB2312" w:hAnsi="仿宋_GB2312" w:eastAsia="仿宋_GB2312" w:cs="仿宋_GB2312"/>
                <w:sz w:val="28"/>
                <w:szCs w:val="28"/>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trPr>
        <w:tc>
          <w:tcPr>
            <w:tcW w:w="148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ascii="仿宋_GB2312" w:hAnsi="仿宋_GB2312" w:eastAsia="仿宋_GB2312" w:cs="仿宋_GB2312"/>
                <w:sz w:val="28"/>
                <w:szCs w:val="28"/>
              </w:rPr>
            </w:pPr>
          </w:p>
        </w:tc>
        <w:tc>
          <w:tcPr>
            <w:tcW w:w="1588" w:type="dxa"/>
            <w:tcBorders>
              <w:top w:val="single" w:color="000000" w:sz="4" w:space="0"/>
              <w:left w:val="single" w:color="000000" w:sz="4" w:space="0"/>
              <w:bottom w:val="single" w:color="000000" w:sz="4" w:space="0"/>
              <w:right w:val="single" w:color="000000" w:sz="0" w:space="0"/>
            </w:tcBorders>
            <w:vAlign w:val="center"/>
          </w:tcPr>
          <w:p>
            <w:pPr>
              <w:overflowPunct w:val="0"/>
              <w:snapToGrid w:val="0"/>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老年代步车</w:t>
            </w:r>
          </w:p>
        </w:tc>
        <w:tc>
          <w:tcPr>
            <w:tcW w:w="625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before="0"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指以出行代步为主要功能，主要以蓄电池等作为辅助能源，具有两个、三个、四个车轮，电动或电动助力功能的特种助力车</w:t>
            </w:r>
            <w:r>
              <w:rPr>
                <w:rFonts w:hint="eastAsia" w:ascii="仿宋_GB2312" w:hAnsi="仿宋_GB2312" w:eastAsia="仿宋_GB2312" w:cs="仿宋_GB2312"/>
                <w:sz w:val="28"/>
                <w:szCs w:val="28"/>
                <w:lang w:eastAsia="zh-CN"/>
              </w:rPr>
              <w:t>。</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Monaco">
    <w:altName w:val="C059"/>
    <w:panose1 w:val="00000000000000000000"/>
    <w:charset w:val="00"/>
    <w:family w:val="auto"/>
    <w:pitch w:val="default"/>
    <w:sig w:usb0="00000000" w:usb1="00000000" w:usb2="00000000" w:usb3="00000000" w:csb0="20000197" w:csb1="4F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revisionView w:markup="0"/>
  <w:trackRevisions w:val="1"/>
  <w:documentProtection w:enforcement="0"/>
  <w:defaultTabStop w:val="420"/>
  <w:drawingGridHorizontalSpacing w:val="220"/>
  <w:drawingGridVerticalSpacing w:val="387"/>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18799F"/>
    <w:rsid w:val="0028353B"/>
    <w:rsid w:val="002A53AA"/>
    <w:rsid w:val="00333EA2"/>
    <w:rsid w:val="005C35DE"/>
    <w:rsid w:val="00626AA2"/>
    <w:rsid w:val="0068574D"/>
    <w:rsid w:val="006E696F"/>
    <w:rsid w:val="0071681D"/>
    <w:rsid w:val="00793379"/>
    <w:rsid w:val="007A33FB"/>
    <w:rsid w:val="007C7A70"/>
    <w:rsid w:val="00890FE1"/>
    <w:rsid w:val="008B16BA"/>
    <w:rsid w:val="0090731C"/>
    <w:rsid w:val="00960DE3"/>
    <w:rsid w:val="009E7FC9"/>
    <w:rsid w:val="00A85D95"/>
    <w:rsid w:val="00AB1D25"/>
    <w:rsid w:val="00AD3D80"/>
    <w:rsid w:val="00B727BA"/>
    <w:rsid w:val="00BE0D57"/>
    <w:rsid w:val="00C70394"/>
    <w:rsid w:val="00DB21D9"/>
    <w:rsid w:val="00F50C8B"/>
    <w:rsid w:val="07011CC2"/>
    <w:rsid w:val="07644792"/>
    <w:rsid w:val="09284798"/>
    <w:rsid w:val="0BCB012F"/>
    <w:rsid w:val="0F2B6FD9"/>
    <w:rsid w:val="144072C9"/>
    <w:rsid w:val="183C240D"/>
    <w:rsid w:val="1AA24D9F"/>
    <w:rsid w:val="23E555EB"/>
    <w:rsid w:val="27FBD2E2"/>
    <w:rsid w:val="28DA2E89"/>
    <w:rsid w:val="2A4254F9"/>
    <w:rsid w:val="2D1F32F4"/>
    <w:rsid w:val="323B4D81"/>
    <w:rsid w:val="34B70380"/>
    <w:rsid w:val="3AE174A3"/>
    <w:rsid w:val="43446334"/>
    <w:rsid w:val="44A84E71"/>
    <w:rsid w:val="477DCE1E"/>
    <w:rsid w:val="4C65278D"/>
    <w:rsid w:val="4CCF686F"/>
    <w:rsid w:val="4EEA4D4C"/>
    <w:rsid w:val="573E1E21"/>
    <w:rsid w:val="5B487E91"/>
    <w:rsid w:val="5CF9550F"/>
    <w:rsid w:val="5EFEBDE8"/>
    <w:rsid w:val="6477B20C"/>
    <w:rsid w:val="68CA2609"/>
    <w:rsid w:val="68CC1AED"/>
    <w:rsid w:val="69BB0F42"/>
    <w:rsid w:val="6A637494"/>
    <w:rsid w:val="6BCF62E6"/>
    <w:rsid w:val="6CD3A16D"/>
    <w:rsid w:val="6D535020"/>
    <w:rsid w:val="6E5F49A6"/>
    <w:rsid w:val="6FFF37D2"/>
    <w:rsid w:val="706A0FD1"/>
    <w:rsid w:val="70DE2EF1"/>
    <w:rsid w:val="75396D4A"/>
    <w:rsid w:val="772843B4"/>
    <w:rsid w:val="77E102FC"/>
    <w:rsid w:val="7BFFCEA3"/>
    <w:rsid w:val="7C5F4108"/>
    <w:rsid w:val="7DF73929"/>
    <w:rsid w:val="7EF58941"/>
    <w:rsid w:val="7F79C282"/>
    <w:rsid w:val="7F7B6CAE"/>
    <w:rsid w:val="7FBF6DD0"/>
    <w:rsid w:val="7FCD17FE"/>
    <w:rsid w:val="7FD7E9A0"/>
    <w:rsid w:val="7FE9FBB2"/>
    <w:rsid w:val="7FF6A9DC"/>
    <w:rsid w:val="7FF7F0EB"/>
    <w:rsid w:val="7FFEE8C7"/>
    <w:rsid w:val="8FFFA67E"/>
    <w:rsid w:val="A97F623E"/>
    <w:rsid w:val="AFBF8780"/>
    <w:rsid w:val="BEEFCB4B"/>
    <w:rsid w:val="BFE6F841"/>
    <w:rsid w:val="BFFBDBCA"/>
    <w:rsid w:val="C3DF69FA"/>
    <w:rsid w:val="D5DE8897"/>
    <w:rsid w:val="DB393E89"/>
    <w:rsid w:val="DDFF7942"/>
    <w:rsid w:val="E7FE3684"/>
    <w:rsid w:val="E95E2A0D"/>
    <w:rsid w:val="EF8798D8"/>
    <w:rsid w:val="EFFF70E4"/>
    <w:rsid w:val="F7EEC240"/>
    <w:rsid w:val="F97F0742"/>
    <w:rsid w:val="FBBF92E3"/>
    <w:rsid w:val="FBF75102"/>
    <w:rsid w:val="FDCEF6B7"/>
    <w:rsid w:val="FDDC5620"/>
    <w:rsid w:val="FDEA700A"/>
    <w:rsid w:val="FE1F2083"/>
    <w:rsid w:val="FE6B5CEC"/>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5"/>
    <w:qFormat/>
    <w:uiPriority w:val="0"/>
    <w:pPr>
      <w:jc w:val="center"/>
      <w:outlineLvl w:val="1"/>
    </w:pPr>
    <w:rPr>
      <w:rFonts w:cstheme="minorBidi"/>
      <w:b/>
      <w:bCs/>
      <w:kern w:val="28"/>
      <w:sz w:val="44"/>
      <w:szCs w:val="32"/>
    </w:rPr>
  </w:style>
  <w:style w:type="paragraph" w:styleId="15">
    <w:name w:val="Normal (Web)"/>
    <w:basedOn w:val="1"/>
    <w:qFormat/>
    <w:uiPriority w:val="0"/>
    <w:rPr>
      <w:sz w:val="24"/>
    </w:rPr>
  </w:style>
  <w:style w:type="paragraph" w:styleId="16">
    <w:name w:val="Title"/>
    <w:basedOn w:val="1"/>
    <w:next w:val="1"/>
    <w:link w:val="24"/>
    <w:qFormat/>
    <w:uiPriority w:val="0"/>
    <w:pPr>
      <w:jc w:val="center"/>
      <w:outlineLvl w:val="0"/>
    </w:pPr>
    <w:rPr>
      <w:rFonts w:cstheme="majorBidi"/>
      <w:b/>
      <w:bCs/>
      <w:sz w:val="48"/>
      <w:szCs w:val="32"/>
    </w:rPr>
  </w:style>
  <w:style w:type="table" w:styleId="18">
    <w:name w:val="Table Grid"/>
    <w:basedOn w:val="17"/>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0">
    <w:name w:val="FollowedHyperlink"/>
    <w:basedOn w:val="19"/>
    <w:qFormat/>
    <w:uiPriority w:val="0"/>
    <w:rPr>
      <w:color w:val="800080"/>
      <w:u w:val="single"/>
    </w:rPr>
  </w:style>
  <w:style w:type="character" w:styleId="21">
    <w:name w:val="Hyperlink"/>
    <w:basedOn w:val="19"/>
    <w:qFormat/>
    <w:uiPriority w:val="0"/>
    <w:rPr>
      <w:color w:val="1E6FFF"/>
      <w:u w:val="single"/>
    </w:rPr>
  </w:style>
  <w:style w:type="paragraph" w:customStyle="1" w:styleId="22">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3">
    <w:name w:val="melo-codeblock-Base-theme-char"/>
    <w:qFormat/>
    <w:uiPriority w:val="99"/>
    <w:rPr>
      <w:rFonts w:ascii="Monaco" w:hAnsi="Monaco" w:eastAsia="Monaco" w:cs="Monaco"/>
      <w:color w:val="000000"/>
      <w:sz w:val="21"/>
    </w:rPr>
  </w:style>
  <w:style w:type="character" w:customStyle="1" w:styleId="24">
    <w:name w:val="标题 字符"/>
    <w:basedOn w:val="19"/>
    <w:link w:val="16"/>
    <w:qFormat/>
    <w:uiPriority w:val="0"/>
    <w:rPr>
      <w:rFonts w:ascii="Arial" w:hAnsi="Arial" w:eastAsia="微软雅黑" w:cstheme="majorBidi"/>
      <w:b/>
      <w:bCs/>
      <w:kern w:val="2"/>
      <w:sz w:val="48"/>
      <w:szCs w:val="32"/>
    </w:rPr>
  </w:style>
  <w:style w:type="character" w:customStyle="1" w:styleId="25">
    <w:name w:val="副标题 字符"/>
    <w:basedOn w:val="19"/>
    <w:link w:val="14"/>
    <w:qFormat/>
    <w:uiPriority w:val="0"/>
    <w:rPr>
      <w:rFonts w:ascii="Arial" w:hAnsi="Arial" w:eastAsia="微软雅黑" w:cstheme="minorBidi"/>
      <w:b/>
      <w:bCs/>
      <w:kern w:val="28"/>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4525</Words>
  <Characters>4557</Characters>
  <Lines>325</Lines>
  <Paragraphs>273</Paragraphs>
  <TotalTime>4</TotalTime>
  <ScaleCrop>false</ScaleCrop>
  <LinksUpToDate>false</LinksUpToDate>
  <CharactersWithSpaces>4759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2025-10-28T09:14:00Z</dcterms:created>
  <dc:creator>Data</dc:creator>
  <cp:lastModifiedBy>郑锦婷</cp:lastModifiedBy>
  <dcterms:modified xsi:type="dcterms:W3CDTF">2025-11-25T09:36:32Z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C8D970CA24BB34D520082569192F4306</vt:lpwstr>
  </property>
  <property fmtid="{D5CDD505-2E9C-101B-9397-08002B2CF9AE}" pid="4" name="KSOTemplateDocerSaveRecord">
    <vt:lpwstr>eyJoZGlkIjoiY2JlNDQ0NThhYmM2MzYzN2IwMmRjZjU2MmI0MWNlNzAiLCJ1c2VySWQiOiIzODA1MDY4MTAifQ==</vt:lpwstr>
  </property>
</Properties>
</file>